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990"/>
        <w:gridCol w:w="1417"/>
      </w:tblGrid>
      <w:tr w:rsidR="009868DD" w:rsidTr="009868DD">
        <w:trPr>
          <w:trHeight w:val="1276"/>
        </w:trPr>
        <w:tc>
          <w:tcPr>
            <w:tcW w:w="8653" w:type="dxa"/>
            <w:gridSpan w:val="2"/>
            <w:vAlign w:val="center"/>
          </w:tcPr>
          <w:p w:rsidR="009868DD" w:rsidRDefault="009868DD" w:rsidP="009868DD">
            <w:pPr>
              <w:jc w:val="center"/>
              <w:rPr>
                <w:rFonts w:ascii="Arial" w:hAnsi="Arial" w:cs="Arial"/>
                <w:b/>
                <w:sz w:val="28"/>
                <w:szCs w:val="28"/>
              </w:rPr>
            </w:pPr>
            <w:bookmarkStart w:id="0" w:name="_GoBack"/>
            <w:bookmarkEnd w:id="0"/>
            <w:r w:rsidRPr="00B009BC">
              <w:rPr>
                <w:rFonts w:ascii="Arial" w:hAnsi="Arial" w:cs="Arial"/>
                <w:b/>
                <w:sz w:val="28"/>
                <w:szCs w:val="28"/>
              </w:rPr>
              <w:t>Cost summary table (for development under $3 million)</w:t>
            </w:r>
          </w:p>
        </w:tc>
        <w:tc>
          <w:tcPr>
            <w:tcW w:w="1417" w:type="dxa"/>
          </w:tcPr>
          <w:p w:rsidR="009868DD" w:rsidRDefault="009868DD">
            <w:pPr>
              <w:rPr>
                <w:rFonts w:ascii="Arial" w:hAnsi="Arial" w:cs="Arial"/>
                <w:b/>
                <w:sz w:val="28"/>
                <w:szCs w:val="28"/>
              </w:rPr>
            </w:pPr>
            <w:r>
              <w:rPr>
                <w:rFonts w:ascii="Arial" w:hAnsi="Arial" w:cs="Arial"/>
                <w:b/>
                <w:noProof/>
                <w:sz w:val="28"/>
                <w:szCs w:val="28"/>
                <w:lang w:val="en-AU" w:eastAsia="en-AU"/>
              </w:rPr>
              <w:drawing>
                <wp:inline distT="0" distB="0" distL="0" distR="0">
                  <wp:extent cx="717252" cy="701164"/>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ddi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3449" cy="716997"/>
                          </a:xfrm>
                          <a:prstGeom prst="rect">
                            <a:avLst/>
                          </a:prstGeom>
                        </pic:spPr>
                      </pic:pic>
                    </a:graphicData>
                  </a:graphic>
                </wp:inline>
              </w:drawing>
            </w:r>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shd w:val="clear" w:color="auto" w:fill="D9D9D9" w:themeFill="background1" w:themeFillShade="D9"/>
          </w:tcPr>
          <w:p w:rsidR="00B009BC" w:rsidRPr="00B009BC" w:rsidRDefault="00B009BC" w:rsidP="00B009BC">
            <w:pPr>
              <w:jc w:val="center"/>
              <w:rPr>
                <w:rFonts w:ascii="Arial" w:hAnsi="Arial" w:cs="Arial"/>
                <w:b/>
              </w:rPr>
            </w:pPr>
            <w:r w:rsidRPr="00B009BC">
              <w:rPr>
                <w:rFonts w:ascii="Arial" w:hAnsi="Arial" w:cs="Arial"/>
                <w:b/>
              </w:rPr>
              <w:t>Element</w:t>
            </w:r>
          </w:p>
        </w:tc>
        <w:tc>
          <w:tcPr>
            <w:tcW w:w="3402" w:type="dxa"/>
            <w:gridSpan w:val="2"/>
            <w:shd w:val="clear" w:color="auto" w:fill="D9D9D9" w:themeFill="background1" w:themeFillShade="D9"/>
          </w:tcPr>
          <w:p w:rsidR="00B009BC" w:rsidRPr="00B009BC" w:rsidRDefault="00B009BC" w:rsidP="00B009BC">
            <w:pPr>
              <w:jc w:val="center"/>
              <w:rPr>
                <w:rFonts w:ascii="Arial" w:hAnsi="Arial" w:cs="Arial"/>
                <w:b/>
              </w:rPr>
            </w:pPr>
            <w:r w:rsidRPr="00B009BC">
              <w:rPr>
                <w:rFonts w:ascii="Arial" w:hAnsi="Arial" w:cs="Arial"/>
                <w:b/>
              </w:rPr>
              <w:t>Cost (excluding GST)</w:t>
            </w:r>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Demolition, excavation and site preparation </w:t>
            </w:r>
          </w:p>
          <w:p w:rsidR="00B009BC" w:rsidRPr="00B009BC" w:rsidRDefault="00B009BC">
            <w:pPr>
              <w:rPr>
                <w:rFonts w:ascii="Arial" w:hAnsi="Arial" w:cs="Arial"/>
              </w:rPr>
            </w:pPr>
            <w:r w:rsidRPr="00B009BC">
              <w:rPr>
                <w:rFonts w:ascii="Arial" w:hAnsi="Arial" w:cs="Arial"/>
              </w:rPr>
              <w:t>Includes clearing vegetation, demolition, excavation and remediation, as well as disposal of any material.</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2074887159"/>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Substructure, columns, external walls and upper floors </w:t>
            </w:r>
          </w:p>
          <w:p w:rsidR="00B009BC" w:rsidRPr="00B009BC" w:rsidRDefault="00B009BC">
            <w:pPr>
              <w:rPr>
                <w:rFonts w:ascii="Arial" w:hAnsi="Arial" w:cs="Arial"/>
              </w:rPr>
            </w:pPr>
            <w:r w:rsidRPr="00B009BC">
              <w:rPr>
                <w:rFonts w:ascii="Arial" w:hAnsi="Arial" w:cs="Arial"/>
              </w:rPr>
              <w:t>Substructure is the structurally sound and watertight base upon which to build. Substructure includes all work up to but excluding the lowest floor finish. Columns include internal and external columns from tops to bases, column casings and all protective non-decorative coatings. External walls include structural walls, basement walls, glazed screen walls, any balcony walls and balustrades. Upper floors are the floor structures above the lowest level.</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744479750"/>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Staircases </w:t>
            </w:r>
          </w:p>
          <w:p w:rsidR="00B009BC" w:rsidRPr="00B009BC" w:rsidRDefault="00B009BC">
            <w:pPr>
              <w:rPr>
                <w:rFonts w:ascii="Arial" w:hAnsi="Arial" w:cs="Arial"/>
              </w:rPr>
            </w:pPr>
            <w:r w:rsidRPr="00B009BC">
              <w:rPr>
                <w:rFonts w:ascii="Arial" w:hAnsi="Arial" w:cs="Arial"/>
              </w:rPr>
              <w:t>Structural connections between two or more floor levels or to roof, plant rooms and motor rooms together with associated finishes.</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841130224"/>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Roof </w:t>
            </w:r>
          </w:p>
          <w:p w:rsidR="00B009BC" w:rsidRPr="00B009BC" w:rsidRDefault="00B009BC">
            <w:pPr>
              <w:rPr>
                <w:rFonts w:ascii="Arial" w:hAnsi="Arial" w:cs="Arial"/>
              </w:rPr>
            </w:pPr>
            <w:r w:rsidRPr="00B009BC">
              <w:rPr>
                <w:rFonts w:ascii="Arial" w:hAnsi="Arial" w:cs="Arial"/>
              </w:rPr>
              <w:t>The structurally sound and watertight covering over the building.</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888766575"/>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Windows, internal walls, doors and screens</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923338114"/>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Surface finishes </w:t>
            </w:r>
          </w:p>
          <w:p w:rsidR="00B009BC" w:rsidRPr="00B009BC" w:rsidRDefault="00B009BC">
            <w:pPr>
              <w:rPr>
                <w:rFonts w:ascii="Arial" w:hAnsi="Arial" w:cs="Arial"/>
              </w:rPr>
            </w:pPr>
            <w:r w:rsidRPr="00B009BC">
              <w:rPr>
                <w:rFonts w:ascii="Arial" w:hAnsi="Arial" w:cs="Arial"/>
              </w:rPr>
              <w:t>Finishes and decoration applied to internal and external surfaces such as walls, floors and ceilings (e.g., painting, cladding, rendering, carpeting, etc).</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730282224"/>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Fitments </w:t>
            </w:r>
          </w:p>
          <w:p w:rsidR="00B009BC" w:rsidRPr="00B009BC" w:rsidRDefault="00B009BC">
            <w:pPr>
              <w:rPr>
                <w:rFonts w:ascii="Arial" w:hAnsi="Arial" w:cs="Arial"/>
              </w:rPr>
            </w:pPr>
            <w:r w:rsidRPr="00B009BC">
              <w:rPr>
                <w:rFonts w:ascii="Arial" w:hAnsi="Arial" w:cs="Arial"/>
              </w:rPr>
              <w:t>Includes built-up fitments and fixed items (e.g., joinery, benches, plaques, mirrors, etc). Loose furniture and finishes are not included.</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519303535"/>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Special equipment </w:t>
            </w:r>
          </w:p>
          <w:p w:rsidR="00B009BC" w:rsidRPr="00B009BC" w:rsidRDefault="00B009BC">
            <w:pPr>
              <w:rPr>
                <w:rFonts w:ascii="Arial" w:hAnsi="Arial" w:cs="Arial"/>
              </w:rPr>
            </w:pPr>
            <w:r w:rsidRPr="00B009BC">
              <w:rPr>
                <w:rFonts w:ascii="Arial" w:hAnsi="Arial" w:cs="Arial"/>
              </w:rPr>
              <w:t>Special equipment is fixed equipment that is necessary to the use for which consent is sought.</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067104491"/>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Building services </w:t>
            </w:r>
          </w:p>
          <w:p w:rsidR="00B009BC" w:rsidRPr="00B009BC" w:rsidRDefault="00B009BC">
            <w:pPr>
              <w:rPr>
                <w:rFonts w:ascii="Arial" w:hAnsi="Arial" w:cs="Arial"/>
              </w:rPr>
            </w:pPr>
            <w:r w:rsidRPr="00B009BC">
              <w:rPr>
                <w:rFonts w:ascii="Arial" w:hAnsi="Arial" w:cs="Arial"/>
              </w:rPr>
              <w:t>Internal and external services necessary for the functioning of the building and property (e.g., stormwater, gas supply, electrical systems, mechanical ventilation, lifts, etc).</w:t>
            </w:r>
          </w:p>
        </w:tc>
        <w:tc>
          <w:tcPr>
            <w:tcW w:w="3402" w:type="dxa"/>
            <w:gridSpan w:val="2"/>
          </w:tcPr>
          <w:p w:rsidR="00B009BC" w:rsidRPr="00B009BC" w:rsidRDefault="00B009BC" w:rsidP="009868DD">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361705163"/>
                <w:placeholder>
                  <w:docPart w:val="DefaultPlaceholder_-1854013440"/>
                </w:placeholder>
                <w:showingPlcHdr/>
              </w:sdtPr>
              <w:sdtContent>
                <w:r w:rsidR="009868DD"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pPr>
              <w:rPr>
                <w:rFonts w:ascii="Arial" w:hAnsi="Arial" w:cs="Arial"/>
                <w:b/>
              </w:rPr>
            </w:pPr>
            <w:r w:rsidRPr="00B009BC">
              <w:rPr>
                <w:rFonts w:ascii="Arial" w:hAnsi="Arial" w:cs="Arial"/>
                <w:b/>
              </w:rPr>
              <w:t xml:space="preserve">External works </w:t>
            </w:r>
          </w:p>
          <w:p w:rsidR="00B009BC" w:rsidRPr="00B009BC" w:rsidRDefault="00B009BC">
            <w:pPr>
              <w:rPr>
                <w:rFonts w:ascii="Arial" w:hAnsi="Arial" w:cs="Arial"/>
              </w:rPr>
            </w:pPr>
            <w:r w:rsidRPr="00B009BC">
              <w:rPr>
                <w:rFonts w:ascii="Arial" w:hAnsi="Arial" w:cs="Arial"/>
              </w:rPr>
              <w:t>Works external to the building other than external building services (e.g., soft landscaping, footpaths, decks, retaining walls, etc).</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99328197"/>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Default="00B009BC">
            <w:pPr>
              <w:rPr>
                <w:rFonts w:ascii="Arial" w:hAnsi="Arial" w:cs="Arial"/>
              </w:rPr>
            </w:pPr>
            <w:r w:rsidRPr="00B009BC">
              <w:rPr>
                <w:rFonts w:ascii="Arial" w:hAnsi="Arial" w:cs="Arial"/>
                <w:b/>
              </w:rPr>
              <w:t>Professional fees</w:t>
            </w:r>
            <w:r w:rsidRPr="00B009BC">
              <w:rPr>
                <w:rFonts w:ascii="Arial" w:hAnsi="Arial" w:cs="Arial"/>
              </w:rPr>
              <w:t xml:space="preserve"> </w:t>
            </w:r>
          </w:p>
          <w:p w:rsidR="00B009BC" w:rsidRPr="00B009BC" w:rsidRDefault="00B009BC">
            <w:pPr>
              <w:rPr>
                <w:rFonts w:ascii="Arial" w:hAnsi="Arial" w:cs="Arial"/>
              </w:rPr>
            </w:pPr>
            <w:r w:rsidRPr="00B009BC">
              <w:rPr>
                <w:rFonts w:ascii="Arial" w:hAnsi="Arial" w:cs="Arial"/>
              </w:rPr>
              <w:t>Professional service fees associated with the design and construction of a development (e.g., architect, project manager, town planning consultant, etc).</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341546718"/>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rsidP="00B009BC">
            <w:pPr>
              <w:jc w:val="right"/>
              <w:rPr>
                <w:rFonts w:ascii="Arial" w:hAnsi="Arial" w:cs="Arial"/>
                <w:b/>
              </w:rPr>
            </w:pPr>
            <w:r w:rsidRPr="00B009BC">
              <w:rPr>
                <w:rFonts w:ascii="Arial" w:hAnsi="Arial" w:cs="Arial"/>
                <w:b/>
              </w:rPr>
              <w:t xml:space="preserve">Estimated development cost </w:t>
            </w:r>
          </w:p>
          <w:p w:rsidR="00B009BC" w:rsidRPr="00B009BC" w:rsidRDefault="00B009BC" w:rsidP="00B009BC">
            <w:pPr>
              <w:jc w:val="right"/>
              <w:rPr>
                <w:rFonts w:ascii="Arial" w:hAnsi="Arial" w:cs="Arial"/>
              </w:rPr>
            </w:pPr>
            <w:r w:rsidRPr="00B009BC">
              <w:rPr>
                <w:rFonts w:ascii="Arial" w:hAnsi="Arial" w:cs="Arial"/>
              </w:rPr>
              <w:t>(The sum of the above cost elements, exclusive of GST*)</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580122792"/>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rsidP="00B009BC">
            <w:pPr>
              <w:jc w:val="right"/>
              <w:rPr>
                <w:rFonts w:ascii="Arial" w:hAnsi="Arial" w:cs="Arial"/>
                <w:b/>
              </w:rPr>
            </w:pPr>
            <w:r w:rsidRPr="00B009BC">
              <w:rPr>
                <w:rFonts w:ascii="Arial" w:hAnsi="Arial" w:cs="Arial"/>
                <w:b/>
              </w:rPr>
              <w:t>GST</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345388224"/>
                <w:placeholder>
                  <w:docPart w:val="DefaultPlaceholder_-1854013440"/>
                </w:placeholder>
                <w:showingPlcHdr/>
              </w:sdtPr>
              <w:sdtContent>
                <w:r w:rsidR="00271F31" w:rsidRPr="004C3F77">
                  <w:rPr>
                    <w:rStyle w:val="PlaceholderText"/>
                  </w:rPr>
                  <w:t>Click or tap here to enter text.</w:t>
                </w:r>
              </w:sdtContent>
            </w:sdt>
          </w:p>
        </w:tc>
      </w:tr>
      <w:tr w:rsidR="00B009BC" w:rsidRPr="00B009BC" w:rsidTr="00986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63" w:type="dxa"/>
          </w:tcPr>
          <w:p w:rsidR="00B009BC" w:rsidRPr="00B009BC" w:rsidRDefault="00B009BC" w:rsidP="00B009BC">
            <w:pPr>
              <w:jc w:val="right"/>
              <w:rPr>
                <w:rFonts w:ascii="Arial" w:hAnsi="Arial" w:cs="Arial"/>
                <w:b/>
              </w:rPr>
            </w:pPr>
            <w:r w:rsidRPr="00B009BC">
              <w:rPr>
                <w:rFonts w:ascii="Arial" w:hAnsi="Arial" w:cs="Arial"/>
                <w:b/>
              </w:rPr>
              <w:t>Estimated development cost plus GST</w:t>
            </w:r>
          </w:p>
        </w:tc>
        <w:tc>
          <w:tcPr>
            <w:tcW w:w="3402" w:type="dxa"/>
            <w:gridSpan w:val="2"/>
          </w:tcPr>
          <w:p w:rsidR="00B009BC" w:rsidRPr="00B009BC" w:rsidRDefault="00B009BC">
            <w:pPr>
              <w:rPr>
                <w:rFonts w:ascii="Arial" w:hAnsi="Arial" w:cs="Arial"/>
              </w:rPr>
            </w:pPr>
            <w:r w:rsidRPr="00B009BC">
              <w:rPr>
                <w:rFonts w:ascii="Arial" w:hAnsi="Arial" w:cs="Arial"/>
              </w:rPr>
              <w:t>$</w:t>
            </w:r>
            <w:r w:rsidR="00BE650F">
              <w:rPr>
                <w:rFonts w:ascii="Arial" w:hAnsi="Arial" w:cs="Arial"/>
              </w:rPr>
              <w:t xml:space="preserve"> </w:t>
            </w:r>
            <w:sdt>
              <w:sdtPr>
                <w:rPr>
                  <w:rFonts w:ascii="Arial" w:hAnsi="Arial" w:cs="Arial"/>
                </w:rPr>
                <w:id w:val="1268346643"/>
                <w:placeholder>
                  <w:docPart w:val="DefaultPlaceholder_-1854013440"/>
                </w:placeholder>
                <w:showingPlcHdr/>
              </w:sdtPr>
              <w:sdtContent>
                <w:r w:rsidR="00271F31" w:rsidRPr="004C3F77">
                  <w:rPr>
                    <w:rStyle w:val="PlaceholderText"/>
                  </w:rPr>
                  <w:t>Click or tap here to enter text.</w:t>
                </w:r>
              </w:sdtContent>
            </w:sdt>
          </w:p>
        </w:tc>
      </w:tr>
    </w:tbl>
    <w:p w:rsidR="00B009BC" w:rsidRPr="009868DD" w:rsidRDefault="00B009BC" w:rsidP="009868DD">
      <w:pPr>
        <w:spacing w:before="120"/>
        <w:ind w:left="-426" w:right="-279"/>
        <w:rPr>
          <w:rFonts w:ascii="Arial" w:hAnsi="Arial" w:cs="Arial"/>
          <w:i/>
        </w:rPr>
      </w:pPr>
      <w:r w:rsidRPr="00B009BC">
        <w:rPr>
          <w:rFonts w:ascii="Arial" w:hAnsi="Arial" w:cs="Arial"/>
        </w:rPr>
        <w:t xml:space="preserve">* Estimated development cost excludes GST, pursuant to Section 6 of the </w:t>
      </w:r>
      <w:r w:rsidRPr="009868DD">
        <w:rPr>
          <w:rFonts w:ascii="Arial" w:hAnsi="Arial" w:cs="Arial"/>
          <w:i/>
        </w:rPr>
        <w:t>Environmental Planning and Assessment Regulation 2021</w:t>
      </w:r>
    </w:p>
    <w:sectPr w:rsidR="00B009BC" w:rsidRPr="009868DD" w:rsidSect="009868DD">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4cWpqZQilQHKgL4wRd99w2isxTPgoahDiCTIZbu4FhmP7LLXpg84ljLYgreXxAgXA2B8XgdzlAbartHycAG5g==" w:salt="tcfrPnHlzfhYgfyVm2pCH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BC"/>
    <w:rsid w:val="00194BF0"/>
    <w:rsid w:val="00271F31"/>
    <w:rsid w:val="00285E00"/>
    <w:rsid w:val="009868DD"/>
    <w:rsid w:val="00B009BC"/>
    <w:rsid w:val="00BE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1D8A"/>
  <w15:chartTrackingRefBased/>
  <w15:docId w15:val="{2AD3AEB5-A4AB-49C6-BF38-EF08065E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C4B92E0-0527-484B-9A95-CE66CBFC7C71}"/>
      </w:docPartPr>
      <w:docPartBody>
        <w:p w:rsidR="00E3586C" w:rsidRDefault="00E71FBD">
          <w:r w:rsidRPr="004C3F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BD"/>
    <w:rsid w:val="00E3586C"/>
    <w:rsid w:val="00E7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F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F356-E6C1-46BE-99FA-BE85C126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418</Words>
  <Characters>2274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WSC</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Audrie Osborne - EA/Trainee Environmental Services</dc:creator>
  <cp:keywords/>
  <dc:description/>
  <cp:lastModifiedBy>Isabel Holmes - Assistant - Environmental Services</cp:lastModifiedBy>
  <cp:revision>3</cp:revision>
  <dcterms:created xsi:type="dcterms:W3CDTF">2024-02-27T21:32:00Z</dcterms:created>
  <dcterms:modified xsi:type="dcterms:W3CDTF">2024-03-07T04:35:00Z</dcterms:modified>
</cp:coreProperties>
</file>